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DB7" w:rsidRPr="001B4525" w:rsidRDefault="0098115D" w:rsidP="001B4525">
      <w:pPr>
        <w:pStyle w:val="Cuerpodetexto"/>
        <w:spacing w:before="120" w:after="0" w:line="360" w:lineRule="auto"/>
        <w:jc w:val="center"/>
        <w:rPr>
          <w:rFonts w:asciiTheme="minorHAnsi" w:eastAsia="Calibri" w:hAnsiTheme="minorHAnsi" w:cstheme="minorHAnsi"/>
          <w:b/>
          <w:bCs/>
          <w:color w:val="auto"/>
          <w:u w:val="single" w:color="000000"/>
          <w:lang w:val="es-ES_tradnl"/>
        </w:rPr>
      </w:pPr>
      <w:r>
        <w:rPr>
          <w:rStyle w:val="Ninguno"/>
          <w:rFonts w:asciiTheme="minorHAnsi" w:eastAsia="Calibri" w:hAnsiTheme="minorHAnsi" w:cstheme="minorHAnsi"/>
          <w:b/>
          <w:bCs/>
          <w:color w:val="auto"/>
          <w:u w:val="single" w:color="000000"/>
        </w:rPr>
        <w:t xml:space="preserve">“HOMENS BRANCOS”, UNA EXPOSICIÓN SOBRE CULTURA AFRO EN EL MUSEO PUEYRREDÓN </w:t>
      </w:r>
      <w:r w:rsidR="00B32BB2" w:rsidRPr="00660C92">
        <w:rPr>
          <w:rStyle w:val="Ninguno"/>
          <w:rFonts w:asciiTheme="minorHAnsi" w:eastAsia="Calibri" w:hAnsiTheme="minorHAnsi" w:cstheme="minorHAnsi"/>
          <w:b/>
          <w:bCs/>
          <w:color w:val="auto"/>
          <w:u w:val="single" w:color="000000"/>
        </w:rPr>
        <w:t xml:space="preserve"> </w:t>
      </w:r>
    </w:p>
    <w:p w:rsidR="00A156DD" w:rsidRDefault="009139D1" w:rsidP="00166BB5">
      <w:pPr>
        <w:pStyle w:val="NormalWeb"/>
        <w:spacing w:before="240" w:line="360" w:lineRule="auto"/>
        <w:jc w:val="both"/>
        <w:rPr>
          <w:rFonts w:asciiTheme="minorHAnsi" w:hAnsiTheme="minorHAnsi" w:cstheme="minorHAnsi"/>
          <w:b/>
        </w:rPr>
      </w:pPr>
      <w:r w:rsidRPr="00660C92">
        <w:rPr>
          <w:rFonts w:asciiTheme="minorHAnsi" w:hAnsiTheme="minorHAnsi" w:cstheme="minorHAnsi"/>
          <w:b/>
        </w:rPr>
        <w:t>BIENALSUR 2019, la segunda edición del evento cultural de arte contemporáneo d</w:t>
      </w:r>
      <w:r w:rsidR="00777EF7" w:rsidRPr="00660C92">
        <w:rPr>
          <w:rFonts w:asciiTheme="minorHAnsi" w:hAnsiTheme="minorHAnsi" w:cstheme="minorHAnsi"/>
          <w:b/>
        </w:rPr>
        <w:t>e Argentina para el mundo</w:t>
      </w:r>
      <w:r w:rsidR="00777EF7" w:rsidRPr="00173EE5">
        <w:rPr>
          <w:rFonts w:asciiTheme="minorHAnsi" w:hAnsiTheme="minorHAnsi" w:cstheme="minorHAnsi"/>
          <w:b/>
        </w:rPr>
        <w:t xml:space="preserve">, </w:t>
      </w:r>
      <w:r w:rsidR="0098115D" w:rsidRPr="00173EE5">
        <w:rPr>
          <w:rFonts w:asciiTheme="minorHAnsi" w:hAnsiTheme="minorHAnsi" w:cstheme="minorHAnsi"/>
          <w:b/>
        </w:rPr>
        <w:t>inaugura el 29 de junio</w:t>
      </w:r>
      <w:r w:rsidR="00CA0230" w:rsidRPr="00173EE5">
        <w:rPr>
          <w:rFonts w:asciiTheme="minorHAnsi" w:hAnsiTheme="minorHAnsi" w:cstheme="minorHAnsi"/>
          <w:b/>
        </w:rPr>
        <w:t>, a las 12:30 horas,</w:t>
      </w:r>
      <w:r w:rsidR="0098115D" w:rsidRPr="00173EE5">
        <w:rPr>
          <w:rFonts w:asciiTheme="minorHAnsi" w:hAnsiTheme="minorHAnsi" w:cstheme="minorHAnsi"/>
          <w:b/>
        </w:rPr>
        <w:t xml:space="preserve"> </w:t>
      </w:r>
      <w:r w:rsidR="00166BB5" w:rsidRPr="00173EE5">
        <w:rPr>
          <w:rFonts w:asciiTheme="minorHAnsi" w:hAnsiTheme="minorHAnsi" w:cstheme="minorHAnsi"/>
          <w:b/>
        </w:rPr>
        <w:t xml:space="preserve">la exposición </w:t>
      </w:r>
      <w:r w:rsidR="0098115D" w:rsidRPr="00173EE5">
        <w:rPr>
          <w:rFonts w:asciiTheme="minorHAnsi" w:hAnsiTheme="minorHAnsi" w:cstheme="minorHAnsi"/>
          <w:b/>
        </w:rPr>
        <w:t>“</w:t>
      </w:r>
      <w:proofErr w:type="spellStart"/>
      <w:r w:rsidR="0098115D" w:rsidRPr="00173EE5">
        <w:rPr>
          <w:rFonts w:asciiTheme="minorHAnsi" w:hAnsiTheme="minorHAnsi" w:cstheme="minorHAnsi"/>
          <w:b/>
        </w:rPr>
        <w:t>Homens</w:t>
      </w:r>
      <w:proofErr w:type="spellEnd"/>
      <w:r w:rsidR="0098115D" w:rsidRPr="00173EE5">
        <w:rPr>
          <w:rFonts w:asciiTheme="minorHAnsi" w:hAnsiTheme="minorHAnsi" w:cstheme="minorHAnsi"/>
          <w:b/>
        </w:rPr>
        <w:t xml:space="preserve"> </w:t>
      </w:r>
      <w:proofErr w:type="spellStart"/>
      <w:r w:rsidR="0098115D" w:rsidRPr="00173EE5">
        <w:rPr>
          <w:rFonts w:asciiTheme="minorHAnsi" w:hAnsiTheme="minorHAnsi" w:cstheme="minorHAnsi"/>
          <w:b/>
        </w:rPr>
        <w:t>brancos</w:t>
      </w:r>
      <w:proofErr w:type="spellEnd"/>
      <w:r w:rsidR="0098115D" w:rsidRPr="00173EE5">
        <w:rPr>
          <w:rFonts w:asciiTheme="minorHAnsi" w:hAnsiTheme="minorHAnsi" w:cstheme="minorHAnsi"/>
          <w:b/>
        </w:rPr>
        <w:t xml:space="preserve">” curada por el brasileño Marcelo </w:t>
      </w:r>
      <w:proofErr w:type="spellStart"/>
      <w:r w:rsidR="0098115D" w:rsidRPr="00173EE5">
        <w:rPr>
          <w:rFonts w:asciiTheme="minorHAnsi" w:hAnsiTheme="minorHAnsi" w:cstheme="minorHAnsi"/>
          <w:b/>
        </w:rPr>
        <w:t>Masagao</w:t>
      </w:r>
      <w:proofErr w:type="spellEnd"/>
      <w:r w:rsidR="00166BB5" w:rsidRPr="00173EE5">
        <w:rPr>
          <w:rFonts w:asciiTheme="minorHAnsi" w:hAnsiTheme="minorHAnsi" w:cstheme="minorHAnsi"/>
          <w:b/>
        </w:rPr>
        <w:t>,</w:t>
      </w:r>
      <w:r w:rsidR="0098115D" w:rsidRPr="00173EE5">
        <w:rPr>
          <w:rFonts w:asciiTheme="minorHAnsi" w:hAnsiTheme="minorHAnsi" w:cstheme="minorHAnsi"/>
          <w:b/>
        </w:rPr>
        <w:t xml:space="preserve"> </w:t>
      </w:r>
      <w:r w:rsidR="00166BB5" w:rsidRPr="00173EE5">
        <w:rPr>
          <w:rFonts w:asciiTheme="minorHAnsi" w:hAnsiTheme="minorHAnsi" w:cstheme="minorHAnsi"/>
          <w:b/>
        </w:rPr>
        <w:t xml:space="preserve">en el Museo Pueyrredón, ubicado en Rivera </w:t>
      </w:r>
      <w:proofErr w:type="spellStart"/>
      <w:r w:rsidR="00166BB5" w:rsidRPr="00173EE5">
        <w:rPr>
          <w:rFonts w:asciiTheme="minorHAnsi" w:hAnsiTheme="minorHAnsi" w:cstheme="minorHAnsi"/>
          <w:b/>
        </w:rPr>
        <w:t>Indarte</w:t>
      </w:r>
      <w:proofErr w:type="spellEnd"/>
      <w:r w:rsidR="00166BB5" w:rsidRPr="00173EE5">
        <w:rPr>
          <w:rFonts w:asciiTheme="minorHAnsi" w:hAnsiTheme="minorHAnsi" w:cstheme="minorHAnsi"/>
          <w:b/>
        </w:rPr>
        <w:t xml:space="preserve"> 4</w:t>
      </w:r>
      <w:r w:rsidR="001C4079" w:rsidRPr="00173EE5">
        <w:rPr>
          <w:rFonts w:asciiTheme="minorHAnsi" w:hAnsiTheme="minorHAnsi" w:cstheme="minorHAnsi"/>
          <w:b/>
        </w:rPr>
        <w:t>8</w:t>
      </w:r>
      <w:r w:rsidR="00166BB5" w:rsidRPr="00173EE5">
        <w:rPr>
          <w:rFonts w:asciiTheme="minorHAnsi" w:hAnsiTheme="minorHAnsi" w:cstheme="minorHAnsi"/>
          <w:b/>
        </w:rPr>
        <w:t xml:space="preserve"> – Acassuso</w:t>
      </w:r>
      <w:r w:rsidR="00166BB5">
        <w:rPr>
          <w:rFonts w:asciiTheme="minorHAnsi" w:hAnsiTheme="minorHAnsi" w:cstheme="minorHAnsi"/>
          <w:b/>
        </w:rPr>
        <w:t xml:space="preserve">- </w:t>
      </w:r>
      <w:r w:rsidR="00166BB5" w:rsidRPr="00166BB5">
        <w:rPr>
          <w:rFonts w:asciiTheme="minorHAnsi" w:hAnsiTheme="minorHAnsi" w:cstheme="minorHAnsi"/>
          <w:b/>
        </w:rPr>
        <w:t xml:space="preserve">. Con entrada gratuita podrá visitarse hasta el 27 de octubre.  </w:t>
      </w:r>
    </w:p>
    <w:p w:rsidR="001B4525" w:rsidRDefault="001B4525" w:rsidP="00166BB5">
      <w:pPr>
        <w:pStyle w:val="NormalWeb"/>
        <w:spacing w:before="240" w:line="360" w:lineRule="auto"/>
        <w:jc w:val="both"/>
        <w:rPr>
          <w:rFonts w:asciiTheme="minorHAnsi" w:hAnsiTheme="minorHAnsi" w:cstheme="minorHAnsi"/>
          <w:b/>
        </w:rPr>
      </w:pPr>
    </w:p>
    <w:p w:rsidR="00166BB5" w:rsidRPr="00652B4A" w:rsidRDefault="00652B4A" w:rsidP="0022280F">
      <w:pPr>
        <w:pStyle w:val="NormalWeb"/>
        <w:spacing w:before="240" w:line="360" w:lineRule="auto"/>
        <w:ind w:firstLine="708"/>
        <w:jc w:val="both"/>
        <w:rPr>
          <w:rFonts w:asciiTheme="minorHAnsi" w:hAnsiTheme="minorHAnsi" w:cstheme="minorHAnsi"/>
        </w:rPr>
      </w:pPr>
      <w:r w:rsidRPr="00652B4A">
        <w:rPr>
          <w:rFonts w:asciiTheme="minorHAnsi" w:hAnsiTheme="minorHAnsi" w:cstheme="minorHAnsi"/>
          <w:color w:val="000000"/>
        </w:rPr>
        <w:t xml:space="preserve">La Bienal Internacional de Arte Contemporáneo de América del Sur, junto con la </w:t>
      </w:r>
      <w:r w:rsidRPr="00652B4A">
        <w:rPr>
          <w:rFonts w:asciiTheme="minorHAnsi" w:hAnsiTheme="minorHAnsi" w:cstheme="minorHAnsi"/>
          <w:b/>
          <w:color w:val="000000"/>
        </w:rPr>
        <w:t>Subsecretaría General de Cultura de San Isidro</w:t>
      </w:r>
      <w:r w:rsidRPr="00652B4A">
        <w:rPr>
          <w:rFonts w:asciiTheme="minorHAnsi" w:hAnsiTheme="minorHAnsi" w:cstheme="minorHAnsi"/>
          <w:color w:val="000000"/>
        </w:rPr>
        <w:t xml:space="preserve">, inaugura en el </w:t>
      </w:r>
      <w:r w:rsidRPr="00652B4A">
        <w:rPr>
          <w:rFonts w:asciiTheme="minorHAnsi" w:hAnsiTheme="minorHAnsi" w:cstheme="minorHAnsi"/>
          <w:b/>
          <w:color w:val="000000"/>
        </w:rPr>
        <w:t>Museo Pueyrredón</w:t>
      </w:r>
      <w:r w:rsidRPr="00652B4A">
        <w:rPr>
          <w:rFonts w:asciiTheme="minorHAnsi" w:hAnsiTheme="minorHAnsi" w:cstheme="minorHAnsi"/>
          <w:color w:val="000000"/>
        </w:rPr>
        <w:t xml:space="preserve"> la exposición </w:t>
      </w:r>
      <w:r w:rsidRPr="00652B4A">
        <w:rPr>
          <w:rFonts w:asciiTheme="minorHAnsi" w:hAnsiTheme="minorHAnsi" w:cstheme="minorHAnsi"/>
          <w:b/>
          <w:color w:val="000000"/>
        </w:rPr>
        <w:t>“</w:t>
      </w:r>
      <w:proofErr w:type="spellStart"/>
      <w:r w:rsidRPr="00652B4A">
        <w:rPr>
          <w:rFonts w:asciiTheme="minorHAnsi" w:hAnsiTheme="minorHAnsi" w:cstheme="minorHAnsi"/>
          <w:b/>
          <w:color w:val="000000"/>
        </w:rPr>
        <w:t>Homens</w:t>
      </w:r>
      <w:proofErr w:type="spellEnd"/>
      <w:r w:rsidRPr="00652B4A">
        <w:rPr>
          <w:rFonts w:asciiTheme="minorHAnsi" w:hAnsiTheme="minorHAnsi" w:cstheme="minorHAnsi"/>
          <w:b/>
          <w:color w:val="000000"/>
        </w:rPr>
        <w:t xml:space="preserve"> </w:t>
      </w:r>
      <w:proofErr w:type="spellStart"/>
      <w:r w:rsidRPr="00652B4A">
        <w:rPr>
          <w:rFonts w:asciiTheme="minorHAnsi" w:hAnsiTheme="minorHAnsi" w:cstheme="minorHAnsi"/>
          <w:b/>
          <w:color w:val="000000"/>
        </w:rPr>
        <w:t>brancos</w:t>
      </w:r>
      <w:proofErr w:type="spellEnd"/>
      <w:r w:rsidRPr="00652B4A">
        <w:rPr>
          <w:rFonts w:asciiTheme="minorHAnsi" w:hAnsiTheme="minorHAnsi" w:cstheme="minorHAnsi"/>
          <w:b/>
          <w:color w:val="000000"/>
        </w:rPr>
        <w:t>”</w:t>
      </w:r>
      <w:r w:rsidRPr="00652B4A">
        <w:rPr>
          <w:rFonts w:asciiTheme="minorHAnsi" w:hAnsiTheme="minorHAnsi" w:cstheme="minorHAnsi"/>
          <w:color w:val="000000"/>
        </w:rPr>
        <w:t xml:space="preserve"> en la que el curador y artista brasileño </w:t>
      </w:r>
      <w:r w:rsidRPr="00652B4A">
        <w:rPr>
          <w:rFonts w:asciiTheme="minorHAnsi" w:hAnsiTheme="minorHAnsi" w:cstheme="minorHAnsi"/>
          <w:b/>
          <w:color w:val="000000"/>
        </w:rPr>
        <w:t xml:space="preserve">Marcelo </w:t>
      </w:r>
      <w:proofErr w:type="spellStart"/>
      <w:r w:rsidR="006465E1">
        <w:rPr>
          <w:rFonts w:asciiTheme="minorHAnsi" w:hAnsiTheme="minorHAnsi" w:cstheme="minorHAnsi"/>
          <w:b/>
          <w:color w:val="000000"/>
        </w:rPr>
        <w:t>Masaga</w:t>
      </w:r>
      <w:bookmarkStart w:id="0" w:name="_GoBack"/>
      <w:bookmarkEnd w:id="0"/>
      <w:r w:rsidR="00166BB5" w:rsidRPr="00652B4A">
        <w:rPr>
          <w:rFonts w:asciiTheme="minorHAnsi" w:hAnsiTheme="minorHAnsi" w:cstheme="minorHAnsi"/>
          <w:b/>
          <w:color w:val="000000"/>
        </w:rPr>
        <w:t>o</w:t>
      </w:r>
      <w:proofErr w:type="spellEnd"/>
      <w:r w:rsidR="00166BB5" w:rsidRPr="00652B4A">
        <w:rPr>
          <w:rFonts w:asciiTheme="minorHAnsi" w:hAnsiTheme="minorHAnsi" w:cstheme="minorHAnsi"/>
          <w:color w:val="000000"/>
        </w:rPr>
        <w:t xml:space="preserve"> revisita de un modo crítico las injusticias con las personas negras en siglos pasados y advierte sobre las desigualdades que en el mismo sentido aún perviven y reaparecen en muchas regiones del </w:t>
      </w:r>
      <w:r w:rsidR="00166BB5" w:rsidRPr="00652B4A">
        <w:rPr>
          <w:rFonts w:asciiTheme="minorHAnsi" w:hAnsiTheme="minorHAnsi" w:cstheme="minorHAnsi"/>
          <w:i/>
          <w:color w:val="000000"/>
        </w:rPr>
        <w:t>mundo civilizado</w:t>
      </w:r>
      <w:r w:rsidR="00166BB5" w:rsidRPr="00652B4A">
        <w:rPr>
          <w:rFonts w:asciiTheme="minorHAnsi" w:hAnsiTheme="minorHAnsi" w:cstheme="minorHAnsi"/>
          <w:color w:val="000000"/>
        </w:rPr>
        <w:t>.</w:t>
      </w:r>
    </w:p>
    <w:p w:rsidR="00166BB5" w:rsidRPr="00166BB5" w:rsidRDefault="00166BB5" w:rsidP="0022280F">
      <w:pPr>
        <w:widowControl/>
        <w:shd w:val="clear" w:color="auto" w:fill="FFFFFF"/>
        <w:spacing w:before="100" w:beforeAutospacing="1" w:after="100" w:afterAutospacing="1" w:line="360" w:lineRule="auto"/>
        <w:ind w:firstLine="708"/>
        <w:jc w:val="both"/>
        <w:rPr>
          <w:rFonts w:asciiTheme="minorHAnsi" w:hAnsiTheme="minorHAnsi" w:cstheme="minorHAnsi"/>
        </w:rPr>
      </w:pPr>
      <w:r w:rsidRPr="00166BB5">
        <w:rPr>
          <w:rFonts w:asciiTheme="minorHAnsi" w:hAnsiTheme="minorHAnsi" w:cstheme="minorHAnsi"/>
        </w:rPr>
        <w:t xml:space="preserve">A partir de sutiles pero </w:t>
      </w:r>
      <w:r w:rsidRPr="001B4525">
        <w:rPr>
          <w:rFonts w:asciiTheme="minorHAnsi" w:hAnsiTheme="minorHAnsi" w:cstheme="minorHAnsi"/>
        </w:rPr>
        <w:t>efectivas intervenciones sobre una serie de acuarelas realizadas por Jean-</w:t>
      </w:r>
      <w:proofErr w:type="spellStart"/>
      <w:r w:rsidRPr="001B4525">
        <w:rPr>
          <w:rFonts w:asciiTheme="minorHAnsi" w:hAnsiTheme="minorHAnsi" w:cstheme="minorHAnsi"/>
        </w:rPr>
        <w:t>Baptiste</w:t>
      </w:r>
      <w:proofErr w:type="spellEnd"/>
      <w:r w:rsidRPr="001B4525">
        <w:rPr>
          <w:rFonts w:asciiTheme="minorHAnsi" w:hAnsiTheme="minorHAnsi" w:cstheme="minorHAnsi"/>
        </w:rPr>
        <w:t xml:space="preserve"> </w:t>
      </w:r>
      <w:proofErr w:type="spellStart"/>
      <w:r w:rsidRPr="001B4525">
        <w:rPr>
          <w:rFonts w:asciiTheme="minorHAnsi" w:hAnsiTheme="minorHAnsi" w:cstheme="minorHAnsi"/>
        </w:rPr>
        <w:t>Debret</w:t>
      </w:r>
      <w:proofErr w:type="spellEnd"/>
      <w:r w:rsidRPr="001B4525">
        <w:rPr>
          <w:rFonts w:asciiTheme="minorHAnsi" w:hAnsiTheme="minorHAnsi" w:cstheme="minorHAnsi"/>
        </w:rPr>
        <w:t xml:space="preserve"> en 1830, </w:t>
      </w:r>
      <w:proofErr w:type="spellStart"/>
      <w:r w:rsidRPr="001B4525">
        <w:rPr>
          <w:rFonts w:asciiTheme="minorHAnsi" w:hAnsiTheme="minorHAnsi" w:cstheme="minorHAnsi"/>
        </w:rPr>
        <w:t>Masagao</w:t>
      </w:r>
      <w:proofErr w:type="spellEnd"/>
      <w:r w:rsidRPr="001B4525">
        <w:rPr>
          <w:rFonts w:asciiTheme="minorHAnsi" w:hAnsiTheme="minorHAnsi" w:cstheme="minorHAnsi"/>
        </w:rPr>
        <w:t xml:space="preserve"> pone de relieve las construcciones de clase en la sociedad colonial brasileña que, sin embargo, resultan extensibles</w:t>
      </w:r>
      <w:r w:rsidRPr="00166BB5">
        <w:rPr>
          <w:rFonts w:asciiTheme="minorHAnsi" w:hAnsiTheme="minorHAnsi" w:cstheme="minorHAnsi"/>
        </w:rPr>
        <w:t xml:space="preserve"> a cualquiera de los nuevos estados americanos. Recortando de las escenas todas aquellas representaciones del hombre blanco y dejando en su lugar una silueta, el artista genera una tensión entre la desaparición del hombre blanco y su presencia –siempre blanca– aun ante el intento de </w:t>
      </w:r>
      <w:proofErr w:type="spellStart"/>
      <w:r w:rsidRPr="00166BB5">
        <w:rPr>
          <w:rFonts w:asciiTheme="minorHAnsi" w:hAnsiTheme="minorHAnsi" w:cstheme="minorHAnsi"/>
        </w:rPr>
        <w:t>borramiento</w:t>
      </w:r>
      <w:proofErr w:type="spellEnd"/>
      <w:r w:rsidRPr="00166BB5">
        <w:rPr>
          <w:rFonts w:asciiTheme="minorHAnsi" w:hAnsiTheme="minorHAnsi" w:cstheme="minorHAnsi"/>
        </w:rPr>
        <w:t>. Asimismo, a partir de diferentes dispositivos de exhibición –una obra-caja de pequeño formato y ampliaciones a gran escala de algunas escenas– el público es interpelado por la misma obra pero desde diversas perspectivas de participación. </w:t>
      </w:r>
    </w:p>
    <w:p w:rsidR="0098115D" w:rsidRPr="00A156DD" w:rsidRDefault="00652B4A" w:rsidP="0022280F">
      <w:pPr>
        <w:pStyle w:val="NormalWeb"/>
        <w:spacing w:before="240" w:line="360" w:lineRule="auto"/>
        <w:ind w:firstLine="708"/>
        <w:jc w:val="both"/>
        <w:rPr>
          <w:rFonts w:asciiTheme="minorHAnsi" w:hAnsiTheme="minorHAnsi" w:cstheme="minorHAnsi"/>
          <w:color w:val="000000"/>
        </w:rPr>
      </w:pPr>
      <w:r w:rsidRPr="00A156DD">
        <w:rPr>
          <w:rFonts w:asciiTheme="minorHAnsi" w:hAnsiTheme="minorHAnsi" w:cstheme="minorHAnsi"/>
          <w:color w:val="000000"/>
        </w:rPr>
        <w:lastRenderedPageBreak/>
        <w:t>Ese</w:t>
      </w:r>
      <w:r w:rsidR="00166BB5" w:rsidRPr="00A156DD">
        <w:rPr>
          <w:rFonts w:asciiTheme="minorHAnsi" w:hAnsiTheme="minorHAnsi" w:cstheme="minorHAnsi"/>
          <w:color w:val="000000"/>
        </w:rPr>
        <w:t xml:space="preserve"> mismo día también podrá verse </w:t>
      </w:r>
      <w:r w:rsidRPr="00A156DD">
        <w:rPr>
          <w:rFonts w:asciiTheme="minorHAnsi" w:hAnsiTheme="minorHAnsi" w:cstheme="minorHAnsi"/>
          <w:i/>
          <w:color w:val="000000"/>
        </w:rPr>
        <w:t>[IN] VISIBLES,</w:t>
      </w:r>
      <w:r w:rsidR="00CA0230">
        <w:rPr>
          <w:rFonts w:asciiTheme="minorHAnsi" w:hAnsiTheme="minorHAnsi" w:cstheme="minorHAnsi"/>
          <w:color w:val="000000"/>
        </w:rPr>
        <w:t xml:space="preserve"> producida por el museo, </w:t>
      </w:r>
      <w:r w:rsidRPr="00A156DD">
        <w:rPr>
          <w:rFonts w:asciiTheme="minorHAnsi" w:hAnsiTheme="minorHAnsi" w:cstheme="minorHAnsi"/>
          <w:color w:val="000000"/>
        </w:rPr>
        <w:t>que reúne documentos originales, objetos arqueológicos y obras de arte, que al igual que “</w:t>
      </w:r>
      <w:proofErr w:type="spellStart"/>
      <w:r w:rsidRPr="00A156DD">
        <w:rPr>
          <w:rFonts w:asciiTheme="minorHAnsi" w:hAnsiTheme="minorHAnsi" w:cstheme="minorHAnsi"/>
          <w:color w:val="000000"/>
        </w:rPr>
        <w:t>Homens</w:t>
      </w:r>
      <w:proofErr w:type="spellEnd"/>
      <w:r w:rsidRPr="00A156DD">
        <w:rPr>
          <w:rFonts w:asciiTheme="minorHAnsi" w:hAnsiTheme="minorHAnsi" w:cstheme="minorHAnsi"/>
          <w:color w:val="000000"/>
        </w:rPr>
        <w:t xml:space="preserve"> </w:t>
      </w:r>
      <w:proofErr w:type="spellStart"/>
      <w:r w:rsidRPr="00A156DD">
        <w:rPr>
          <w:rFonts w:asciiTheme="minorHAnsi" w:hAnsiTheme="minorHAnsi" w:cstheme="minorHAnsi"/>
          <w:color w:val="000000"/>
        </w:rPr>
        <w:t>brancos</w:t>
      </w:r>
      <w:proofErr w:type="spellEnd"/>
      <w:r w:rsidRPr="00A156DD">
        <w:rPr>
          <w:rFonts w:asciiTheme="minorHAnsi" w:hAnsiTheme="minorHAnsi" w:cstheme="minorHAnsi"/>
          <w:color w:val="000000"/>
        </w:rPr>
        <w:t xml:space="preserve">”, invita a reflexionar sobre la cultura afro. </w:t>
      </w:r>
    </w:p>
    <w:p w:rsidR="00EA5351" w:rsidRPr="00A156DD" w:rsidRDefault="00A156DD" w:rsidP="0022280F">
      <w:pPr>
        <w:pStyle w:val="NormalWeb"/>
        <w:spacing w:before="240" w:line="360" w:lineRule="auto"/>
        <w:ind w:firstLine="708"/>
        <w:jc w:val="both"/>
        <w:rPr>
          <w:rStyle w:val="Ninguno"/>
          <w:rFonts w:asciiTheme="minorHAnsi" w:hAnsiTheme="minorHAnsi" w:cstheme="minorHAnsi"/>
          <w:color w:val="000000"/>
          <w:lang w:val="es-AR"/>
        </w:rPr>
      </w:pPr>
      <w:r w:rsidRPr="00A156DD">
        <w:rPr>
          <w:rFonts w:asciiTheme="minorHAnsi" w:hAnsiTheme="minorHAnsi" w:cstheme="minorHAnsi"/>
          <w:color w:val="000000"/>
        </w:rPr>
        <w:t>¿Qué pasó con los negros, que ya no se ven? fue el interrogante que se planteó en el Museo Pueyrredón al repasar los documentos que dan cuenta de la importancia que tuvieron los esclavos en la vida do</w:t>
      </w:r>
      <w:r w:rsidR="0022280F">
        <w:rPr>
          <w:rFonts w:asciiTheme="minorHAnsi" w:hAnsiTheme="minorHAnsi" w:cstheme="minorHAnsi"/>
          <w:color w:val="000000"/>
        </w:rPr>
        <w:t>méstica y en la economía de esa</w:t>
      </w:r>
      <w:r w:rsidRPr="00A156DD">
        <w:rPr>
          <w:rFonts w:asciiTheme="minorHAnsi" w:hAnsiTheme="minorHAnsi" w:cstheme="minorHAnsi"/>
          <w:color w:val="000000"/>
        </w:rPr>
        <w:t xml:space="preserve"> casa. Y de ahí, a una conclusión: ni la fiebre amarilla, ni las muertes en el Ejército Libertador ni la pobreza explican el dramático descenso en el país de la población de origen afro a fines del siglo XIX.</w:t>
      </w:r>
      <w:r w:rsidR="0022280F">
        <w:rPr>
          <w:rFonts w:asciiTheme="minorHAnsi" w:hAnsiTheme="minorHAnsi" w:cstheme="minorHAnsi"/>
          <w:color w:val="000000"/>
        </w:rPr>
        <w:t xml:space="preserve"> </w:t>
      </w:r>
      <w:r w:rsidRPr="00A156DD">
        <w:rPr>
          <w:rFonts w:asciiTheme="minorHAnsi" w:hAnsiTheme="minorHAnsi" w:cstheme="minorHAnsi"/>
          <w:color w:val="000000"/>
        </w:rPr>
        <w:t xml:space="preserve">La muestra, curada por </w:t>
      </w:r>
      <w:r w:rsidRPr="00A156DD">
        <w:rPr>
          <w:rFonts w:asciiTheme="minorHAnsi" w:hAnsiTheme="minorHAnsi" w:cstheme="minorHAnsi"/>
        </w:rPr>
        <w:t xml:space="preserve">Eleonora </w:t>
      </w:r>
      <w:proofErr w:type="spellStart"/>
      <w:r w:rsidRPr="00A156DD">
        <w:rPr>
          <w:rFonts w:asciiTheme="minorHAnsi" w:hAnsiTheme="minorHAnsi" w:cstheme="minorHAnsi"/>
        </w:rPr>
        <w:t>Jaureguiberry</w:t>
      </w:r>
      <w:proofErr w:type="spellEnd"/>
      <w:r w:rsidRPr="00A156DD">
        <w:rPr>
          <w:rFonts w:asciiTheme="minorHAnsi" w:hAnsiTheme="minorHAnsi" w:cstheme="minorHAnsi"/>
        </w:rPr>
        <w:t xml:space="preserve">, subsecretaria general de Cultura de San Isidro, junto con </w:t>
      </w:r>
      <w:r w:rsidRPr="00A156DD">
        <w:rPr>
          <w:rFonts w:asciiTheme="minorHAnsi" w:hAnsiTheme="minorHAnsi" w:cstheme="minorHAnsi"/>
          <w:color w:val="000000"/>
        </w:rPr>
        <w:t xml:space="preserve">Cecilia Lebrero y Patricio López Méndez ofrece un conjunto relevante de documentos originales, pinturas, fotografías, objetos arqueológicos y otras piezas acordes al </w:t>
      </w:r>
      <w:r w:rsidRPr="001B4525">
        <w:rPr>
          <w:rFonts w:asciiTheme="minorHAnsi" w:hAnsiTheme="minorHAnsi" w:cstheme="minorHAnsi"/>
          <w:color w:val="000000"/>
        </w:rPr>
        <w:t xml:space="preserve">sentido del </w:t>
      </w:r>
      <w:proofErr w:type="spellStart"/>
      <w:r w:rsidRPr="001B4525">
        <w:rPr>
          <w:rFonts w:asciiTheme="minorHAnsi" w:hAnsiTheme="minorHAnsi" w:cstheme="minorHAnsi"/>
          <w:color w:val="000000"/>
        </w:rPr>
        <w:t>guión</w:t>
      </w:r>
      <w:proofErr w:type="spellEnd"/>
      <w:r w:rsidRPr="001B4525">
        <w:rPr>
          <w:rFonts w:asciiTheme="minorHAnsi" w:hAnsiTheme="minorHAnsi" w:cstheme="minorHAnsi"/>
          <w:color w:val="000000"/>
        </w:rPr>
        <w:t xml:space="preserve"> museológico, que fue seleccionado tras un minucioso proceso de investigación y relevamiento en diferentes colecciones públicas y privadas.</w:t>
      </w:r>
      <w:r w:rsidR="001C4079" w:rsidRPr="001B4525">
        <w:rPr>
          <w:rFonts w:asciiTheme="minorHAnsi" w:hAnsiTheme="minorHAnsi" w:cstheme="minorHAnsi"/>
          <w:color w:val="000000"/>
        </w:rPr>
        <w:t xml:space="preserve"> La muestra, que cuenta con la investigación especializada de Norberto Pablo Cirio, no ancla solo en el siglo XIX, sino que procura también reflexionar sobre la actualidad de la cultura </w:t>
      </w:r>
      <w:proofErr w:type="spellStart"/>
      <w:r w:rsidR="001C4079" w:rsidRPr="001B4525">
        <w:rPr>
          <w:rFonts w:asciiTheme="minorHAnsi" w:hAnsiTheme="minorHAnsi" w:cstheme="minorHAnsi"/>
          <w:color w:val="000000"/>
        </w:rPr>
        <w:t>afroargentina</w:t>
      </w:r>
      <w:proofErr w:type="spellEnd"/>
      <w:r w:rsidR="001C4079" w:rsidRPr="001B4525">
        <w:rPr>
          <w:rFonts w:asciiTheme="minorHAnsi" w:hAnsiTheme="minorHAnsi" w:cstheme="minorHAnsi"/>
          <w:color w:val="000000"/>
        </w:rPr>
        <w:t>.</w:t>
      </w:r>
    </w:p>
    <w:p w:rsidR="0098115D" w:rsidRPr="005863F6" w:rsidRDefault="0098115D" w:rsidP="0098115D">
      <w:pPr>
        <w:pStyle w:val="m7853225344542202889s9"/>
        <w:shd w:val="clear" w:color="auto" w:fill="FFFFFF"/>
        <w:spacing w:line="360" w:lineRule="auto"/>
        <w:ind w:firstLine="708"/>
        <w:jc w:val="both"/>
        <w:rPr>
          <w:rStyle w:val="m7853225344542202889bumpedfont15"/>
          <w:rFonts w:asciiTheme="minorHAnsi" w:hAnsiTheme="minorHAnsi" w:cstheme="minorHAnsi"/>
          <w:bCs/>
        </w:rPr>
      </w:pPr>
      <w:r w:rsidRPr="0098115D">
        <w:rPr>
          <w:rStyle w:val="m7853225344542202889bumpedfont15"/>
          <w:rFonts w:asciiTheme="minorHAnsi" w:hAnsiTheme="minorHAnsi" w:cstheme="minorHAnsi"/>
          <w:bCs/>
        </w:rPr>
        <w:t>Organizada por la Universidad Nacional de Tres de Febrero (UNTREF), BIENALSUR 2019 es la segunda edición del evento cultural de arte contemporáneo de Argentina para el mundo, que reúne de mayo a noviembre en simultáneo exposiciones de 400 artistas en 43 ciudades de veinte países, a través de más de cien sedes –con las que se trabaja de forma conjunta y colaborativa. Fue</w:t>
      </w:r>
      <w:r w:rsidRPr="005863F6">
        <w:rPr>
          <w:rStyle w:val="m7853225344542202889bumpedfont15"/>
          <w:rFonts w:asciiTheme="minorHAnsi" w:hAnsiTheme="minorHAnsi" w:cstheme="minorHAnsi"/>
          <w:bCs/>
        </w:rPr>
        <w:t xml:space="preserve"> lanzada oficialmente en mayo pasado en la provincia de Tierra del Fuego, en un simbólico posicionamiento </w:t>
      </w:r>
      <w:r w:rsidRPr="002A77C1">
        <w:rPr>
          <w:rStyle w:val="m7853225344542202889bumpedfont15"/>
          <w:rFonts w:asciiTheme="minorHAnsi" w:hAnsiTheme="minorHAnsi" w:cstheme="minorHAnsi"/>
          <w:b/>
          <w:bCs/>
        </w:rPr>
        <w:t>al sur del sur</w:t>
      </w:r>
      <w:r w:rsidRPr="005863F6">
        <w:rPr>
          <w:rStyle w:val="m7853225344542202889bumpedfont15"/>
          <w:rFonts w:asciiTheme="minorHAnsi" w:hAnsiTheme="minorHAnsi" w:cstheme="minorHAnsi"/>
          <w:bCs/>
        </w:rPr>
        <w:t>, y luego de inaugurar capítulos en diversos territorios como Tucumán, Rosario, Córdoba, San Juan, Brasil, Suiza y Francia, y tras su despliegue en Buenos Aires, seguirá extendiéndose luego a países com</w:t>
      </w:r>
      <w:r>
        <w:rPr>
          <w:rStyle w:val="m7853225344542202889bumpedfont15"/>
          <w:rFonts w:asciiTheme="minorHAnsi" w:hAnsiTheme="minorHAnsi" w:cstheme="minorHAnsi"/>
          <w:bCs/>
        </w:rPr>
        <w:t xml:space="preserve">o Bolivia, </w:t>
      </w:r>
      <w:r w:rsidRPr="005863F6">
        <w:rPr>
          <w:rStyle w:val="m7853225344542202889bumpedfont15"/>
          <w:rFonts w:asciiTheme="minorHAnsi" w:hAnsiTheme="minorHAnsi" w:cstheme="minorHAnsi"/>
          <w:bCs/>
        </w:rPr>
        <w:t xml:space="preserve">Chile, Colombia, Ecuador, México, Paraguay, Perú, Uruguay, </w:t>
      </w:r>
      <w:proofErr w:type="spellStart"/>
      <w:r w:rsidRPr="005863F6">
        <w:rPr>
          <w:rStyle w:val="m7853225344542202889bumpedfont15"/>
          <w:rFonts w:asciiTheme="minorHAnsi" w:hAnsiTheme="minorHAnsi" w:cstheme="minorHAnsi"/>
          <w:bCs/>
        </w:rPr>
        <w:t>Benin</w:t>
      </w:r>
      <w:proofErr w:type="spellEnd"/>
      <w:r w:rsidRPr="005863F6">
        <w:rPr>
          <w:rStyle w:val="m7853225344542202889bumpedfont15"/>
          <w:rFonts w:asciiTheme="minorHAnsi" w:hAnsiTheme="minorHAnsi" w:cstheme="minorHAnsi"/>
          <w:bCs/>
        </w:rPr>
        <w:t>, España, Francia, Italia, Marruecos y Japón, entre otros.</w:t>
      </w:r>
    </w:p>
    <w:p w:rsidR="0098115D" w:rsidRPr="005863F6" w:rsidRDefault="0098115D" w:rsidP="0098115D">
      <w:pPr>
        <w:pStyle w:val="m7853225344542202889s9"/>
        <w:shd w:val="clear" w:color="auto" w:fill="FFFFFF"/>
        <w:spacing w:line="360" w:lineRule="auto"/>
        <w:jc w:val="both"/>
        <w:rPr>
          <w:rStyle w:val="m7853225344542202889bumpedfont15"/>
          <w:rFonts w:asciiTheme="minorHAnsi" w:hAnsiTheme="minorHAnsi" w:cstheme="minorHAnsi"/>
          <w:bCs/>
        </w:rPr>
      </w:pPr>
      <w:r>
        <w:rPr>
          <w:rStyle w:val="m7853225344542202889bumpedfont15"/>
          <w:rFonts w:asciiTheme="minorHAnsi" w:hAnsiTheme="minorHAnsi" w:cstheme="minorHAnsi"/>
          <w:bCs/>
        </w:rPr>
        <w:lastRenderedPageBreak/>
        <w:tab/>
      </w:r>
      <w:r w:rsidRPr="002A77C1">
        <w:rPr>
          <w:rStyle w:val="m7853225344542202889bumpedfont15"/>
          <w:rFonts w:asciiTheme="minorHAnsi" w:hAnsiTheme="minorHAnsi" w:cstheme="minorHAnsi"/>
          <w:b/>
          <w:bCs/>
        </w:rPr>
        <w:t>BIENALSUR</w:t>
      </w:r>
      <w:r w:rsidRPr="005863F6">
        <w:rPr>
          <w:rStyle w:val="m7853225344542202889bumpedfont15"/>
          <w:rFonts w:asciiTheme="minorHAnsi" w:hAnsiTheme="minorHAnsi" w:cstheme="minorHAnsi"/>
          <w:bCs/>
        </w:rPr>
        <w:t xml:space="preserve"> concibe a la cultura como un vehículo de integración entre países. Para conectar todas sus sedes plantea una cartografía inédita, que borra fronteras y piensa</w:t>
      </w:r>
      <w:r>
        <w:rPr>
          <w:rStyle w:val="m7853225344542202889bumpedfont15"/>
          <w:rFonts w:asciiTheme="minorHAnsi" w:hAnsiTheme="minorHAnsi" w:cstheme="minorHAnsi"/>
          <w:bCs/>
        </w:rPr>
        <w:t xml:space="preserve"> </w:t>
      </w:r>
      <w:proofErr w:type="spellStart"/>
      <w:r>
        <w:rPr>
          <w:rStyle w:val="m7853225344542202889bumpedfont15"/>
          <w:rFonts w:asciiTheme="minorHAnsi" w:hAnsiTheme="minorHAnsi" w:cstheme="minorHAnsi"/>
          <w:bCs/>
        </w:rPr>
        <w:t>n</w:t>
      </w:r>
      <w:r w:rsidRPr="005863F6">
        <w:rPr>
          <w:rStyle w:val="m7853225344542202889bumpedfont15"/>
          <w:rFonts w:asciiTheme="minorHAnsi" w:hAnsiTheme="minorHAnsi" w:cstheme="minorHAnsi"/>
          <w:bCs/>
        </w:rPr>
        <w:t>junto</w:t>
      </w:r>
      <w:proofErr w:type="spellEnd"/>
      <w:r w:rsidRPr="005863F6">
        <w:rPr>
          <w:rStyle w:val="m7853225344542202889bumpedfont15"/>
          <w:rFonts w:asciiTheme="minorHAnsi" w:hAnsiTheme="minorHAnsi" w:cstheme="minorHAnsi"/>
          <w:bCs/>
        </w:rPr>
        <w:t xml:space="preserve"> con los artistas, entre lo local y lo global. De manera simbólica, sitúa el MUNTREF 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w:t>
      </w:r>
    </w:p>
    <w:p w:rsidR="0098115D" w:rsidRPr="005863F6" w:rsidRDefault="0098115D" w:rsidP="0098115D">
      <w:pPr>
        <w:pStyle w:val="m7853225344542202889s9"/>
        <w:shd w:val="clear" w:color="auto" w:fill="FFFFFF"/>
        <w:spacing w:line="360" w:lineRule="auto"/>
        <w:jc w:val="both"/>
        <w:rPr>
          <w:rStyle w:val="m7853225344542202889bumpedfont15"/>
          <w:rFonts w:asciiTheme="minorHAnsi" w:hAnsiTheme="minorHAnsi" w:cstheme="minorHAnsi"/>
          <w:bCs/>
        </w:rPr>
      </w:pPr>
      <w:r>
        <w:rPr>
          <w:rStyle w:val="m7853225344542202889bumpedfont15"/>
          <w:rFonts w:asciiTheme="minorHAnsi" w:hAnsiTheme="minorHAnsi" w:cstheme="minorHAnsi"/>
          <w:bCs/>
        </w:rPr>
        <w:tab/>
      </w:r>
      <w:r w:rsidRPr="005863F6">
        <w:rPr>
          <w:rStyle w:val="m7853225344542202889bumpedfont15"/>
          <w:rFonts w:asciiTheme="minorHAnsi" w:hAnsiTheme="minorHAnsi" w:cstheme="minorHAnsi"/>
          <w:bCs/>
        </w:rPr>
        <w:t>La bienal se estructura y despliega en el territorio a través de exposiciones que se enmarcan en seis grandes ejes curatoriales y que dan coherencia y sentido a toda su</w:t>
      </w:r>
      <w:r>
        <w:rPr>
          <w:rStyle w:val="m7853225344542202889bumpedfont15"/>
          <w:rFonts w:asciiTheme="minorHAnsi" w:hAnsiTheme="minorHAnsi" w:cstheme="minorHAnsi"/>
          <w:bCs/>
        </w:rPr>
        <w:t xml:space="preserve"> </w:t>
      </w:r>
      <w:r w:rsidRPr="005863F6">
        <w:rPr>
          <w:rStyle w:val="m7853225344542202889bumpedfont15"/>
          <w:rFonts w:asciiTheme="minorHAnsi" w:hAnsiTheme="minorHAnsi" w:cstheme="minorHAnsi"/>
          <w:bCs/>
        </w:rPr>
        <w:t>cartografía: “Cuestiones de género”, “Tránsitos y Migraciones”, “Arte y Espacio público”, “Modos de ver”, “Memorias y olvidos”, “Arte y ciencia/Arte y naturaleza”, y que ayudarán al espectador a trazar su propio circuito de recorrido en base a sus intereses.</w:t>
      </w:r>
    </w:p>
    <w:p w:rsidR="0098115D" w:rsidRPr="005863F6" w:rsidRDefault="0098115D" w:rsidP="0098115D">
      <w:pPr>
        <w:pStyle w:val="m7853225344542202889s9"/>
        <w:shd w:val="clear" w:color="auto" w:fill="FFFFFF"/>
        <w:spacing w:line="360" w:lineRule="auto"/>
        <w:jc w:val="both"/>
        <w:rPr>
          <w:rStyle w:val="m7853225344542202889bumpedfont15"/>
          <w:rFonts w:asciiTheme="minorHAnsi" w:hAnsiTheme="minorHAnsi" w:cstheme="minorHAnsi"/>
          <w:bCs/>
        </w:rPr>
      </w:pPr>
      <w:r>
        <w:rPr>
          <w:rStyle w:val="m7853225344542202889bumpedfont15"/>
          <w:rFonts w:asciiTheme="minorHAnsi" w:hAnsiTheme="minorHAnsi" w:cstheme="minorHAnsi"/>
          <w:bCs/>
        </w:rPr>
        <w:tab/>
      </w:r>
      <w:r w:rsidRPr="002A77C1">
        <w:rPr>
          <w:rStyle w:val="m7853225344542202889bumpedfont15"/>
          <w:rFonts w:asciiTheme="minorHAnsi" w:hAnsiTheme="minorHAnsi" w:cstheme="minorHAnsi"/>
          <w:b/>
          <w:bCs/>
        </w:rPr>
        <w:t xml:space="preserve">Para Aníbal </w:t>
      </w:r>
      <w:proofErr w:type="spellStart"/>
      <w:r w:rsidRPr="002A77C1">
        <w:rPr>
          <w:rStyle w:val="m7853225344542202889bumpedfont15"/>
          <w:rFonts w:asciiTheme="minorHAnsi" w:hAnsiTheme="minorHAnsi" w:cstheme="minorHAnsi"/>
          <w:b/>
          <w:bCs/>
        </w:rPr>
        <w:t>Jozami</w:t>
      </w:r>
      <w:proofErr w:type="spellEnd"/>
      <w:r w:rsidRPr="002A77C1">
        <w:rPr>
          <w:rStyle w:val="m7853225344542202889bumpedfont15"/>
          <w:rFonts w:asciiTheme="minorHAnsi" w:hAnsiTheme="minorHAnsi" w:cstheme="minorHAnsi"/>
          <w:b/>
          <w:bCs/>
        </w:rPr>
        <w:t>, director general de BIENALSUR y rector de la Universidad Nacional de Tres de Febrero (UNTREF):</w:t>
      </w:r>
      <w:r w:rsidRPr="005863F6">
        <w:rPr>
          <w:rStyle w:val="m7853225344542202889bumpedfont15"/>
          <w:rFonts w:asciiTheme="minorHAnsi" w:hAnsiTheme="minorHAnsi" w:cstheme="minorHAnsi"/>
          <w:bCs/>
        </w:rPr>
        <w:t xml:space="preserve"> “Pensamos BIENALSUR como un espacio de intercambio horizontal, capaz de hacer un aporte a la integración cultural. En un mundo que construye muros, la bienal es capaz de contribuir a derribarlos”.</w:t>
      </w:r>
    </w:p>
    <w:p w:rsidR="0098115D" w:rsidRPr="005863F6" w:rsidRDefault="0098115D" w:rsidP="0098115D">
      <w:pPr>
        <w:pStyle w:val="m7853225344542202889s9"/>
        <w:shd w:val="clear" w:color="auto" w:fill="FFFFFF"/>
        <w:spacing w:line="360" w:lineRule="auto"/>
        <w:jc w:val="both"/>
        <w:rPr>
          <w:rStyle w:val="m7853225344542202889bumpedfont15"/>
          <w:rFonts w:asciiTheme="minorHAnsi" w:hAnsiTheme="minorHAnsi" w:cstheme="minorHAnsi"/>
          <w:bCs/>
        </w:rPr>
      </w:pPr>
      <w:r>
        <w:rPr>
          <w:rStyle w:val="m7853225344542202889bumpedfont15"/>
          <w:rFonts w:asciiTheme="minorHAnsi" w:hAnsiTheme="minorHAnsi" w:cstheme="minorHAnsi"/>
          <w:bCs/>
        </w:rPr>
        <w:tab/>
      </w:r>
      <w:r w:rsidRPr="002A77C1">
        <w:rPr>
          <w:rStyle w:val="m7853225344542202889bumpedfont15"/>
          <w:rFonts w:asciiTheme="minorHAnsi" w:hAnsiTheme="minorHAnsi" w:cstheme="minorHAnsi"/>
          <w:b/>
          <w:bCs/>
        </w:rPr>
        <w:t xml:space="preserve">Para Diana </w:t>
      </w:r>
      <w:proofErr w:type="spellStart"/>
      <w:r w:rsidRPr="002A77C1">
        <w:rPr>
          <w:rStyle w:val="m7853225344542202889bumpedfont15"/>
          <w:rFonts w:asciiTheme="minorHAnsi" w:hAnsiTheme="minorHAnsi" w:cstheme="minorHAnsi"/>
          <w:b/>
          <w:bCs/>
        </w:rPr>
        <w:t>Wechsler</w:t>
      </w:r>
      <w:proofErr w:type="spellEnd"/>
      <w:r w:rsidRPr="002A77C1">
        <w:rPr>
          <w:rStyle w:val="m7853225344542202889bumpedfont15"/>
          <w:rFonts w:asciiTheme="minorHAnsi" w:hAnsiTheme="minorHAnsi" w:cstheme="minorHAnsi"/>
          <w:b/>
          <w:bCs/>
        </w:rPr>
        <w:t>, directora artístico-académica de BIENALSUR</w:t>
      </w:r>
      <w:r w:rsidRPr="005863F6">
        <w:rPr>
          <w:rStyle w:val="m7853225344542202889bumpedfont15"/>
          <w:rFonts w:asciiTheme="minorHAnsi" w:hAnsiTheme="minorHAnsi" w:cstheme="minorHAnsi"/>
          <w:bCs/>
        </w:rPr>
        <w:t>: “En el proceso de repensar las dinámicas del arte contemporáneo desplegamos colaborativamente este proyecto 'indisciplinado', en el sentido que busca tensar los límites disciplinares, situarse en los bordes y replantear las reglas de juego”.</w:t>
      </w:r>
    </w:p>
    <w:p w:rsidR="0098115D" w:rsidRPr="001B4525" w:rsidRDefault="0098115D" w:rsidP="0098115D">
      <w:pPr>
        <w:pStyle w:val="m7853225344542202889s9"/>
        <w:shd w:val="clear" w:color="auto" w:fill="FFFFFF"/>
        <w:spacing w:line="360" w:lineRule="auto"/>
        <w:jc w:val="both"/>
        <w:rPr>
          <w:rStyle w:val="m7853225344542202889bumpedfont15"/>
          <w:rFonts w:asciiTheme="minorHAnsi" w:hAnsiTheme="minorHAnsi" w:cstheme="minorHAnsi"/>
          <w:b/>
          <w:bCs/>
        </w:rPr>
      </w:pPr>
      <w:r w:rsidRPr="002A77C1">
        <w:rPr>
          <w:rStyle w:val="m7853225344542202889bumpedfont15"/>
          <w:rFonts w:asciiTheme="minorHAnsi" w:hAnsiTheme="minorHAnsi" w:cstheme="minorHAnsi"/>
          <w:b/>
          <w:bCs/>
        </w:rPr>
        <w:t>La agenda de BIENALSUR 2019 podrá consultarse en www.bienalsur.org.</w:t>
      </w:r>
    </w:p>
    <w:p w:rsidR="0098115D" w:rsidRPr="002A77C1" w:rsidRDefault="0098115D" w:rsidP="0098115D">
      <w:pPr>
        <w:pStyle w:val="m7853225344542202889s9"/>
        <w:shd w:val="clear" w:color="auto" w:fill="FFFFFF"/>
        <w:spacing w:line="360" w:lineRule="auto"/>
        <w:jc w:val="center"/>
        <w:rPr>
          <w:rStyle w:val="m7853225344542202889bumpedfont15"/>
          <w:rFonts w:asciiTheme="minorHAnsi" w:hAnsiTheme="minorHAnsi" w:cstheme="minorHAnsi"/>
          <w:b/>
          <w:bCs/>
          <w:u w:val="single"/>
        </w:rPr>
      </w:pPr>
      <w:r w:rsidRPr="002A77C1">
        <w:rPr>
          <w:rStyle w:val="m7853225344542202889bumpedfont15"/>
          <w:rFonts w:asciiTheme="minorHAnsi" w:hAnsiTheme="minorHAnsi" w:cstheme="minorHAnsi"/>
          <w:b/>
          <w:bCs/>
          <w:u w:val="single"/>
        </w:rPr>
        <w:t>ACERCA DE BIENALSUR</w:t>
      </w:r>
    </w:p>
    <w:p w:rsidR="0098115D" w:rsidRDefault="0098115D" w:rsidP="0098115D">
      <w:pPr>
        <w:pStyle w:val="m7853225344542202889s9"/>
        <w:shd w:val="clear" w:color="auto" w:fill="FFFFFF"/>
        <w:spacing w:line="360" w:lineRule="auto"/>
        <w:jc w:val="both"/>
        <w:rPr>
          <w:rStyle w:val="m7853225344542202889bumpedfont15"/>
          <w:rFonts w:asciiTheme="minorHAnsi" w:hAnsiTheme="minorHAnsi" w:cstheme="minorHAnsi"/>
          <w:bCs/>
        </w:rPr>
      </w:pPr>
      <w:r w:rsidRPr="005863F6">
        <w:rPr>
          <w:rStyle w:val="m7853225344542202889bumpedfont15"/>
          <w:rFonts w:asciiTheme="minorHAnsi" w:hAnsiTheme="minorHAnsi" w:cstheme="minorHAnsi"/>
          <w:bCs/>
        </w:rPr>
        <w:t xml:space="preserve">La segunda edición de BIENALSUR, la Bienal Internacional de Arte Contemporáneo de América del Sur se realizará de mayo a noviembre de 2019 con exposiciones simultáneas </w:t>
      </w:r>
      <w:r w:rsidRPr="005863F6">
        <w:rPr>
          <w:rStyle w:val="m7853225344542202889bumpedfont15"/>
          <w:rFonts w:asciiTheme="minorHAnsi" w:hAnsiTheme="minorHAnsi" w:cstheme="minorHAnsi"/>
          <w:bCs/>
        </w:rPr>
        <w:lastRenderedPageBreak/>
        <w:t>de más de 400 artistas distribuidas en 43 ciudades de una veintena de países. La vibrante oferta artística se desplegará en más de cien sedes</w:t>
      </w:r>
      <w:r>
        <w:rPr>
          <w:rStyle w:val="m7853225344542202889bumpedfont15"/>
          <w:rFonts w:asciiTheme="minorHAnsi" w:hAnsiTheme="minorHAnsi" w:cstheme="minorHAnsi"/>
          <w:bCs/>
        </w:rPr>
        <w:t xml:space="preserve"> </w:t>
      </w:r>
      <w:r w:rsidRPr="005863F6">
        <w:rPr>
          <w:rStyle w:val="m7853225344542202889bumpedfont15"/>
          <w:rFonts w:asciiTheme="minorHAnsi" w:hAnsiTheme="minorHAnsi" w:cstheme="minorHAnsi"/>
          <w:b/>
          <w:bCs/>
        </w:rPr>
        <w:t xml:space="preserve">–con las que </w:t>
      </w:r>
      <w:r>
        <w:rPr>
          <w:rStyle w:val="m7853225344542202889bumpedfont15"/>
          <w:rFonts w:asciiTheme="minorHAnsi" w:hAnsiTheme="minorHAnsi" w:cstheme="minorHAnsi"/>
          <w:b/>
          <w:bCs/>
        </w:rPr>
        <w:t xml:space="preserve">BIENALSUR </w:t>
      </w:r>
      <w:r w:rsidRPr="005863F6">
        <w:rPr>
          <w:rStyle w:val="m7853225344542202889bumpedfont15"/>
          <w:rFonts w:asciiTheme="minorHAnsi" w:hAnsiTheme="minorHAnsi" w:cstheme="minorHAnsi"/>
          <w:b/>
          <w:bCs/>
        </w:rPr>
        <w:t>trabaja de forma conjunta y colaborativa-</w:t>
      </w:r>
      <w:r>
        <w:rPr>
          <w:rStyle w:val="m7853225344542202889bumpedfont15"/>
          <w:rFonts w:asciiTheme="minorHAnsi" w:hAnsiTheme="minorHAnsi" w:cstheme="minorHAnsi"/>
          <w:b/>
          <w:bCs/>
        </w:rPr>
        <w:t xml:space="preserve">, </w:t>
      </w:r>
      <w:r w:rsidRPr="005863F6">
        <w:rPr>
          <w:rStyle w:val="m7853225344542202889bumpedfont15"/>
          <w:rFonts w:asciiTheme="minorHAnsi" w:hAnsiTheme="minorHAnsi" w:cstheme="minorHAnsi"/>
          <w:bCs/>
        </w:rPr>
        <w:t>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975DB7" w:rsidRPr="00541DFB" w:rsidRDefault="00975DB7" w:rsidP="00541DFB">
      <w:pPr>
        <w:pStyle w:val="Cuerpodetexto"/>
        <w:spacing w:before="120" w:after="0" w:line="360" w:lineRule="auto"/>
        <w:jc w:val="both"/>
        <w:rPr>
          <w:rStyle w:val="Ninguno"/>
          <w:rFonts w:asciiTheme="minorHAnsi" w:eastAsia="Calibri" w:hAnsiTheme="minorHAnsi" w:cstheme="minorHAnsi"/>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color w:val="auto"/>
          <w:u w:color="000000"/>
        </w:rPr>
      </w:pPr>
      <w:r w:rsidRPr="00975DB7">
        <w:rPr>
          <w:rStyle w:val="Ninguno"/>
          <w:rFonts w:asciiTheme="minorHAnsi" w:eastAsia="Calibri" w:hAnsiTheme="minorHAnsi" w:cstheme="minorHAnsi"/>
          <w:b/>
          <w:bCs/>
          <w:color w:val="FFC000"/>
          <w:u w:val="single" w:color="BD9400"/>
        </w:rPr>
        <w:t xml:space="preserve">PRENSA </w:t>
      </w:r>
      <w:r w:rsidRPr="00660C92">
        <w:rPr>
          <w:rStyle w:val="Ninguno"/>
          <w:rFonts w:asciiTheme="minorHAnsi" w:eastAsia="Calibri" w:hAnsiTheme="minorHAnsi" w:cstheme="minorHAnsi"/>
          <w:color w:val="auto"/>
          <w:u w:color="000000"/>
        </w:rPr>
        <w:t xml:space="preserve">| Toda la información sobre </w:t>
      </w:r>
      <w:r w:rsidRPr="00660C92">
        <w:rPr>
          <w:rStyle w:val="Ninguno"/>
          <w:rFonts w:asciiTheme="minorHAnsi" w:eastAsia="Calibri" w:hAnsiTheme="minorHAnsi" w:cstheme="minorHAnsi"/>
          <w:b/>
          <w:bCs/>
          <w:color w:val="auto"/>
          <w:u w:color="000000"/>
        </w:rPr>
        <w:t>BIENALSUR 2019</w:t>
      </w:r>
      <w:r w:rsidRPr="00660C92">
        <w:rPr>
          <w:rStyle w:val="Ninguno"/>
          <w:rFonts w:asciiTheme="minorHAnsi" w:eastAsia="Calibri" w:hAnsiTheme="minorHAnsi" w:cstheme="minorHAnsi"/>
          <w:color w:val="auto"/>
          <w:u w:color="000000"/>
        </w:rPr>
        <w:t>, materiales de prensa e imágenes en alta resolución está disponible para descarga desde nuestra página web:</w:t>
      </w:r>
    </w:p>
    <w:p w:rsidR="00E87625" w:rsidRPr="00660C92" w:rsidRDefault="00E87625" w:rsidP="00660C92">
      <w:pPr>
        <w:pStyle w:val="Cuerpodetexto"/>
        <w:spacing w:after="0" w:line="360" w:lineRule="auto"/>
        <w:rPr>
          <w:rFonts w:asciiTheme="minorHAnsi" w:eastAsia="Calibri" w:hAnsiTheme="minorHAnsi" w:cstheme="minorHAnsi"/>
          <w:b/>
          <w:bCs/>
          <w:color w:val="auto"/>
          <w:u w:color="000000"/>
          <w:lang w:val="es-ES_tradnl"/>
        </w:rPr>
      </w:pPr>
      <w:r w:rsidRPr="00660C92">
        <w:rPr>
          <w:rStyle w:val="Ninguno"/>
          <w:rFonts w:asciiTheme="minorHAnsi" w:eastAsia="Calibri" w:hAnsiTheme="minorHAnsi" w:cstheme="minorHAnsi"/>
          <w:b/>
          <w:bCs/>
          <w:color w:val="auto"/>
          <w:u w:color="000000"/>
        </w:rPr>
        <w:t>https://bienalsur.org/es/prensa</w:t>
      </w:r>
    </w:p>
    <w:p w:rsidR="00EC7AA0" w:rsidRPr="00660C92" w:rsidRDefault="00EC7AA0" w:rsidP="00660C92">
      <w:pPr>
        <w:pStyle w:val="Cuerpodetexto"/>
        <w:spacing w:before="120" w:after="0" w:line="360" w:lineRule="auto"/>
        <w:rPr>
          <w:rStyle w:val="Ninguno"/>
          <w:rFonts w:asciiTheme="minorHAnsi" w:eastAsia="Calibri" w:hAnsiTheme="minorHAnsi" w:cstheme="minorHAnsi"/>
          <w:b/>
          <w:bCs/>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Para más información de prensa</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proofErr w:type="spellStart"/>
      <w:r w:rsidRPr="00660C92">
        <w:rPr>
          <w:rStyle w:val="Ninguno"/>
          <w:rFonts w:asciiTheme="minorHAnsi" w:eastAsia="Calibri" w:hAnsiTheme="minorHAnsi" w:cstheme="minorHAnsi"/>
          <w:b/>
          <w:bCs/>
          <w:color w:val="auto"/>
          <w:u w:color="000000"/>
        </w:rPr>
        <w:t>Claribel</w:t>
      </w:r>
      <w:proofErr w:type="spellEnd"/>
      <w:r w:rsidRPr="00660C92">
        <w:rPr>
          <w:rStyle w:val="Ninguno"/>
          <w:rFonts w:asciiTheme="minorHAnsi" w:eastAsia="Calibri" w:hAnsiTheme="minorHAnsi" w:cstheme="minorHAnsi"/>
          <w:b/>
          <w:bCs/>
          <w:color w:val="auto"/>
          <w:u w:color="000000"/>
        </w:rPr>
        <w:t xml:space="preserve"> </w:t>
      </w:r>
      <w:proofErr w:type="spellStart"/>
      <w:r w:rsidRPr="00660C92">
        <w:rPr>
          <w:rStyle w:val="Ninguno"/>
          <w:rFonts w:asciiTheme="minorHAnsi" w:eastAsia="Calibri" w:hAnsiTheme="minorHAnsi" w:cstheme="minorHAnsi"/>
          <w:b/>
          <w:bCs/>
          <w:color w:val="auto"/>
          <w:u w:color="000000"/>
        </w:rPr>
        <w:t>Terré</w:t>
      </w:r>
      <w:proofErr w:type="spellEnd"/>
      <w:r w:rsidRPr="00660C92">
        <w:rPr>
          <w:rStyle w:val="Ninguno"/>
          <w:rFonts w:asciiTheme="minorHAnsi" w:eastAsia="Calibri" w:hAnsiTheme="minorHAnsi" w:cstheme="minorHAnsi"/>
          <w:b/>
          <w:bCs/>
          <w:color w:val="auto"/>
          <w:u w:color="000000"/>
        </w:rPr>
        <w:t xml:space="preserve"> </w:t>
      </w:r>
      <w:proofErr w:type="spellStart"/>
      <w:r w:rsidRPr="00660C92">
        <w:rPr>
          <w:rStyle w:val="Ninguno"/>
          <w:rFonts w:asciiTheme="minorHAnsi" w:eastAsia="Calibri" w:hAnsiTheme="minorHAnsi" w:cstheme="minorHAnsi"/>
          <w:b/>
          <w:bCs/>
          <w:color w:val="auto"/>
          <w:u w:color="000000"/>
        </w:rPr>
        <w:t>Morell</w:t>
      </w:r>
      <w:proofErr w:type="spellEnd"/>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claribelterre@bienalsur.org</w:t>
      </w:r>
    </w:p>
    <w:p w:rsidR="00E87625" w:rsidRPr="00660C92" w:rsidRDefault="00E87625" w:rsidP="00660C92">
      <w:pPr>
        <w:pStyle w:val="Cuerpodetexto"/>
        <w:spacing w:line="360" w:lineRule="auto"/>
        <w:rPr>
          <w:rFonts w:asciiTheme="minorHAnsi" w:eastAsia="Calibri" w:hAnsiTheme="minorHAnsi" w:cstheme="minorHAnsi"/>
          <w:color w:val="auto"/>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BIENALSUR EN REDES</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 xml:space="preserve">Instagram </w:t>
      </w:r>
      <w:r w:rsidRPr="00660C92">
        <w:rPr>
          <w:rStyle w:val="Ninguno"/>
          <w:rFonts w:asciiTheme="minorHAnsi" w:eastAsia="Calibri" w:hAnsiTheme="minorHAnsi" w:cstheme="minorHAnsi"/>
          <w:b/>
          <w:bCs/>
          <w:color w:val="auto"/>
          <w:u w:color="000000"/>
          <w:lang w:val="pt-PT"/>
        </w:rPr>
        <w:t>/bienalsurarte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Facebook</w:t>
      </w:r>
      <w:r w:rsidRPr="00660C92">
        <w:rPr>
          <w:rStyle w:val="Ninguno"/>
          <w:rFonts w:asciiTheme="minorHAnsi" w:eastAsia="Calibri" w:hAnsiTheme="minorHAnsi" w:cstheme="minorHAnsi"/>
          <w:b/>
          <w:bCs/>
          <w:color w:val="auto"/>
          <w:u w:color="000000"/>
          <w:lang w:val="pt-PT"/>
        </w:rPr>
        <w:t xml:space="preserve"> /BIENALSURarte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Twitter</w:t>
      </w:r>
      <w:r w:rsidR="00702232" w:rsidRPr="00660C92">
        <w:rPr>
          <w:rStyle w:val="Ninguno"/>
          <w:rFonts w:asciiTheme="minorHAnsi" w:eastAsia="Calibri" w:hAnsiTheme="minorHAnsi" w:cstheme="minorHAnsi"/>
          <w:b/>
          <w:bCs/>
          <w:color w:val="auto"/>
          <w:u w:color="000000"/>
          <w:lang w:val="pt-PT"/>
        </w:rPr>
        <w:t xml:space="preserve"> /BIENALSUR</w:t>
      </w:r>
      <w:r w:rsidRPr="00660C92">
        <w:rPr>
          <w:rStyle w:val="Ninguno"/>
          <w:rFonts w:asciiTheme="minorHAnsi" w:eastAsia="Calibri" w:hAnsiTheme="minorHAnsi" w:cstheme="minorHAnsi"/>
          <w:b/>
          <w:bCs/>
          <w:color w:val="auto"/>
          <w:u w:color="000000"/>
          <w:lang w:val="pt-PT"/>
        </w:rPr>
        <w:t>arte</w:t>
      </w:r>
    </w:p>
    <w:p w:rsidR="00E87625" w:rsidRPr="00975DB7" w:rsidRDefault="00E87625" w:rsidP="00975DB7">
      <w:pPr>
        <w:pStyle w:val="Cuerpodetexto"/>
        <w:spacing w:before="120" w:after="0" w:line="360" w:lineRule="auto"/>
        <w:rPr>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Youtube</w:t>
      </w:r>
      <w:r w:rsidR="00702232" w:rsidRPr="00660C92">
        <w:rPr>
          <w:rStyle w:val="Ninguno"/>
          <w:rFonts w:asciiTheme="minorHAnsi" w:eastAsia="Calibri" w:hAnsiTheme="minorHAnsi" w:cstheme="minorHAnsi"/>
          <w:b/>
          <w:bCs/>
          <w:color w:val="auto"/>
          <w:u w:color="000000"/>
          <w:lang w:val="pt-PT"/>
        </w:rPr>
        <w:t xml:space="preserve"> /BIENALSUR</w:t>
      </w:r>
      <w:r w:rsidRPr="00660C92">
        <w:rPr>
          <w:rStyle w:val="Ninguno"/>
          <w:rFonts w:asciiTheme="minorHAnsi" w:eastAsia="Calibri" w:hAnsiTheme="minorHAnsi" w:cstheme="minorHAnsi"/>
          <w:b/>
          <w:bCs/>
          <w:color w:val="auto"/>
          <w:u w:color="000000"/>
          <w:lang w:val="pt-PT"/>
        </w:rPr>
        <w:t>arte</w:t>
      </w:r>
    </w:p>
    <w:sectPr w:rsidR="00E87625" w:rsidRPr="00975DB7"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0B0" w:rsidRDefault="006800B0" w:rsidP="00306F11">
      <w:r>
        <w:separator/>
      </w:r>
    </w:p>
  </w:endnote>
  <w:endnote w:type="continuationSeparator" w:id="0">
    <w:p w:rsidR="006800B0" w:rsidRDefault="006800B0"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0B0" w:rsidRDefault="006800B0" w:rsidP="00306F11">
      <w:r>
        <w:separator/>
      </w:r>
    </w:p>
  </w:footnote>
  <w:footnote w:type="continuationSeparator" w:id="0">
    <w:p w:rsidR="006800B0" w:rsidRDefault="006800B0"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11F42650">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3C467A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CD8EE0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6FC4992">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D14C1E6">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A36C630">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164070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696E5E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3EA0CE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63E71"/>
    <w:rsid w:val="000A7F60"/>
    <w:rsid w:val="000B18EC"/>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66BB5"/>
    <w:rsid w:val="0017271D"/>
    <w:rsid w:val="00173EE5"/>
    <w:rsid w:val="001801DA"/>
    <w:rsid w:val="001816E8"/>
    <w:rsid w:val="001863D2"/>
    <w:rsid w:val="001947C5"/>
    <w:rsid w:val="001B1625"/>
    <w:rsid w:val="001B4525"/>
    <w:rsid w:val="001B4CD1"/>
    <w:rsid w:val="001B547C"/>
    <w:rsid w:val="001B54BE"/>
    <w:rsid w:val="001C4079"/>
    <w:rsid w:val="001D198E"/>
    <w:rsid w:val="001D2898"/>
    <w:rsid w:val="001E2599"/>
    <w:rsid w:val="001E4AE1"/>
    <w:rsid w:val="001E6E25"/>
    <w:rsid w:val="001F1E3D"/>
    <w:rsid w:val="00205AC0"/>
    <w:rsid w:val="0021267B"/>
    <w:rsid w:val="0022280F"/>
    <w:rsid w:val="00223BE7"/>
    <w:rsid w:val="00235C79"/>
    <w:rsid w:val="00235FED"/>
    <w:rsid w:val="00237809"/>
    <w:rsid w:val="0024202F"/>
    <w:rsid w:val="002430E0"/>
    <w:rsid w:val="002507D9"/>
    <w:rsid w:val="00253151"/>
    <w:rsid w:val="00266AEE"/>
    <w:rsid w:val="0027126B"/>
    <w:rsid w:val="00273D62"/>
    <w:rsid w:val="00294089"/>
    <w:rsid w:val="002C51DD"/>
    <w:rsid w:val="002D5C7B"/>
    <w:rsid w:val="002E7AF0"/>
    <w:rsid w:val="00300509"/>
    <w:rsid w:val="00300D4C"/>
    <w:rsid w:val="00301C40"/>
    <w:rsid w:val="00301FE2"/>
    <w:rsid w:val="00303BA6"/>
    <w:rsid w:val="0030422C"/>
    <w:rsid w:val="00306F11"/>
    <w:rsid w:val="00316EDF"/>
    <w:rsid w:val="003417BD"/>
    <w:rsid w:val="003458BC"/>
    <w:rsid w:val="003468E3"/>
    <w:rsid w:val="00351287"/>
    <w:rsid w:val="0039353B"/>
    <w:rsid w:val="003A4B8C"/>
    <w:rsid w:val="003A7BD4"/>
    <w:rsid w:val="003B61BC"/>
    <w:rsid w:val="003C28D6"/>
    <w:rsid w:val="003D654E"/>
    <w:rsid w:val="003D72DB"/>
    <w:rsid w:val="003E0EAE"/>
    <w:rsid w:val="00400C66"/>
    <w:rsid w:val="00412DA3"/>
    <w:rsid w:val="00420BB2"/>
    <w:rsid w:val="004257B4"/>
    <w:rsid w:val="00433DA7"/>
    <w:rsid w:val="00463536"/>
    <w:rsid w:val="00483FCA"/>
    <w:rsid w:val="004B62C9"/>
    <w:rsid w:val="004D12CF"/>
    <w:rsid w:val="004D5F0B"/>
    <w:rsid w:val="004D655C"/>
    <w:rsid w:val="004E4139"/>
    <w:rsid w:val="004E4CA2"/>
    <w:rsid w:val="004F3BE4"/>
    <w:rsid w:val="004F7BBF"/>
    <w:rsid w:val="005052CA"/>
    <w:rsid w:val="00517EA6"/>
    <w:rsid w:val="00522F68"/>
    <w:rsid w:val="00524F88"/>
    <w:rsid w:val="00532537"/>
    <w:rsid w:val="00541DBC"/>
    <w:rsid w:val="00541DFB"/>
    <w:rsid w:val="00547183"/>
    <w:rsid w:val="0055794A"/>
    <w:rsid w:val="00562DD2"/>
    <w:rsid w:val="00580068"/>
    <w:rsid w:val="0059123F"/>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465E1"/>
    <w:rsid w:val="00652B4A"/>
    <w:rsid w:val="00656762"/>
    <w:rsid w:val="00660C92"/>
    <w:rsid w:val="0066187C"/>
    <w:rsid w:val="0067050C"/>
    <w:rsid w:val="00673459"/>
    <w:rsid w:val="00673936"/>
    <w:rsid w:val="006757C8"/>
    <w:rsid w:val="006800B0"/>
    <w:rsid w:val="00697F7E"/>
    <w:rsid w:val="006A6028"/>
    <w:rsid w:val="006B5790"/>
    <w:rsid w:val="006B76BB"/>
    <w:rsid w:val="006C0154"/>
    <w:rsid w:val="006C2BE5"/>
    <w:rsid w:val="006C3AFA"/>
    <w:rsid w:val="006E6A9B"/>
    <w:rsid w:val="006F379F"/>
    <w:rsid w:val="00702232"/>
    <w:rsid w:val="00703ABA"/>
    <w:rsid w:val="00707441"/>
    <w:rsid w:val="007141FA"/>
    <w:rsid w:val="0072307E"/>
    <w:rsid w:val="00727D06"/>
    <w:rsid w:val="00733BF8"/>
    <w:rsid w:val="00736B9B"/>
    <w:rsid w:val="007527AD"/>
    <w:rsid w:val="00762E3D"/>
    <w:rsid w:val="00777EF7"/>
    <w:rsid w:val="007859CE"/>
    <w:rsid w:val="00795A91"/>
    <w:rsid w:val="007A268D"/>
    <w:rsid w:val="007A2ED6"/>
    <w:rsid w:val="007A4D6D"/>
    <w:rsid w:val="007C0EE1"/>
    <w:rsid w:val="007C3563"/>
    <w:rsid w:val="007C3E7A"/>
    <w:rsid w:val="007C5A53"/>
    <w:rsid w:val="007D21AB"/>
    <w:rsid w:val="007D406B"/>
    <w:rsid w:val="007E2830"/>
    <w:rsid w:val="00817AA6"/>
    <w:rsid w:val="00820126"/>
    <w:rsid w:val="00821DA3"/>
    <w:rsid w:val="008234F4"/>
    <w:rsid w:val="0084364E"/>
    <w:rsid w:val="00846162"/>
    <w:rsid w:val="0084775A"/>
    <w:rsid w:val="00857ACA"/>
    <w:rsid w:val="0086206B"/>
    <w:rsid w:val="008665AC"/>
    <w:rsid w:val="00872486"/>
    <w:rsid w:val="008757B1"/>
    <w:rsid w:val="00877201"/>
    <w:rsid w:val="0089771B"/>
    <w:rsid w:val="008A4017"/>
    <w:rsid w:val="008B1A83"/>
    <w:rsid w:val="008B523A"/>
    <w:rsid w:val="008D4BC8"/>
    <w:rsid w:val="008F4A90"/>
    <w:rsid w:val="008F6B4E"/>
    <w:rsid w:val="00903134"/>
    <w:rsid w:val="00907255"/>
    <w:rsid w:val="00913574"/>
    <w:rsid w:val="009139D1"/>
    <w:rsid w:val="009140D7"/>
    <w:rsid w:val="0092159C"/>
    <w:rsid w:val="00921BE2"/>
    <w:rsid w:val="00932868"/>
    <w:rsid w:val="00933A7D"/>
    <w:rsid w:val="009402E6"/>
    <w:rsid w:val="009514C3"/>
    <w:rsid w:val="009527A8"/>
    <w:rsid w:val="009569D4"/>
    <w:rsid w:val="00975DB7"/>
    <w:rsid w:val="00976566"/>
    <w:rsid w:val="0098115D"/>
    <w:rsid w:val="00991AE2"/>
    <w:rsid w:val="009936F1"/>
    <w:rsid w:val="009A5CFF"/>
    <w:rsid w:val="009B29B8"/>
    <w:rsid w:val="009C3BBE"/>
    <w:rsid w:val="009D4349"/>
    <w:rsid w:val="009F12CF"/>
    <w:rsid w:val="009F12EA"/>
    <w:rsid w:val="00A00E1A"/>
    <w:rsid w:val="00A10BA4"/>
    <w:rsid w:val="00A13210"/>
    <w:rsid w:val="00A14B46"/>
    <w:rsid w:val="00A156DD"/>
    <w:rsid w:val="00A1638B"/>
    <w:rsid w:val="00A16E79"/>
    <w:rsid w:val="00A16EAC"/>
    <w:rsid w:val="00A21D68"/>
    <w:rsid w:val="00A22DA5"/>
    <w:rsid w:val="00A3319D"/>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E84"/>
    <w:rsid w:val="00B32BB2"/>
    <w:rsid w:val="00B36B96"/>
    <w:rsid w:val="00B46ADA"/>
    <w:rsid w:val="00B53E51"/>
    <w:rsid w:val="00B56B75"/>
    <w:rsid w:val="00B571BC"/>
    <w:rsid w:val="00B6135B"/>
    <w:rsid w:val="00B66031"/>
    <w:rsid w:val="00B66F34"/>
    <w:rsid w:val="00B72E02"/>
    <w:rsid w:val="00B91D6C"/>
    <w:rsid w:val="00B965DB"/>
    <w:rsid w:val="00B96F0C"/>
    <w:rsid w:val="00BA20FC"/>
    <w:rsid w:val="00BA57FB"/>
    <w:rsid w:val="00BB08D9"/>
    <w:rsid w:val="00BB17A4"/>
    <w:rsid w:val="00BC2BD0"/>
    <w:rsid w:val="00BC7697"/>
    <w:rsid w:val="00BE5248"/>
    <w:rsid w:val="00BF663D"/>
    <w:rsid w:val="00BF76CB"/>
    <w:rsid w:val="00C03A57"/>
    <w:rsid w:val="00C05AF7"/>
    <w:rsid w:val="00C06B63"/>
    <w:rsid w:val="00C16C1C"/>
    <w:rsid w:val="00C17C14"/>
    <w:rsid w:val="00C31449"/>
    <w:rsid w:val="00C35668"/>
    <w:rsid w:val="00C3627E"/>
    <w:rsid w:val="00C36685"/>
    <w:rsid w:val="00C5263F"/>
    <w:rsid w:val="00C52EE0"/>
    <w:rsid w:val="00C53E6B"/>
    <w:rsid w:val="00C70B92"/>
    <w:rsid w:val="00C71127"/>
    <w:rsid w:val="00C72FA9"/>
    <w:rsid w:val="00C75BF9"/>
    <w:rsid w:val="00C907BD"/>
    <w:rsid w:val="00C909F8"/>
    <w:rsid w:val="00C93FE9"/>
    <w:rsid w:val="00C9517F"/>
    <w:rsid w:val="00CA0230"/>
    <w:rsid w:val="00CA4D20"/>
    <w:rsid w:val="00CA7E95"/>
    <w:rsid w:val="00CB0584"/>
    <w:rsid w:val="00CC171F"/>
    <w:rsid w:val="00CC2322"/>
    <w:rsid w:val="00CC5938"/>
    <w:rsid w:val="00CD6D99"/>
    <w:rsid w:val="00CE3AE5"/>
    <w:rsid w:val="00CF7479"/>
    <w:rsid w:val="00D00E88"/>
    <w:rsid w:val="00D01FE5"/>
    <w:rsid w:val="00D023A7"/>
    <w:rsid w:val="00D046ED"/>
    <w:rsid w:val="00D076E1"/>
    <w:rsid w:val="00D26333"/>
    <w:rsid w:val="00D501AF"/>
    <w:rsid w:val="00D62E0F"/>
    <w:rsid w:val="00D7076A"/>
    <w:rsid w:val="00D76B4F"/>
    <w:rsid w:val="00D77334"/>
    <w:rsid w:val="00D81ABF"/>
    <w:rsid w:val="00D83CE7"/>
    <w:rsid w:val="00DA0B35"/>
    <w:rsid w:val="00DB2AF0"/>
    <w:rsid w:val="00DB36C3"/>
    <w:rsid w:val="00DB3935"/>
    <w:rsid w:val="00DB5509"/>
    <w:rsid w:val="00DC334E"/>
    <w:rsid w:val="00DD0C70"/>
    <w:rsid w:val="00DD78C8"/>
    <w:rsid w:val="00DF5FA7"/>
    <w:rsid w:val="00E0470C"/>
    <w:rsid w:val="00E051DF"/>
    <w:rsid w:val="00E1409B"/>
    <w:rsid w:val="00E20838"/>
    <w:rsid w:val="00E3018E"/>
    <w:rsid w:val="00E301EE"/>
    <w:rsid w:val="00E66DA8"/>
    <w:rsid w:val="00E855A6"/>
    <w:rsid w:val="00E87625"/>
    <w:rsid w:val="00E96707"/>
    <w:rsid w:val="00EA38EE"/>
    <w:rsid w:val="00EA5351"/>
    <w:rsid w:val="00EA5898"/>
    <w:rsid w:val="00EB14E5"/>
    <w:rsid w:val="00EB1BEA"/>
    <w:rsid w:val="00EB20BA"/>
    <w:rsid w:val="00EB6987"/>
    <w:rsid w:val="00EB73E7"/>
    <w:rsid w:val="00EC7AA0"/>
    <w:rsid w:val="00ED0D56"/>
    <w:rsid w:val="00EE3FB5"/>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0DED"/>
    <w:rsid w:val="00F772BD"/>
    <w:rsid w:val="00F773AA"/>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7853225344542202889s9">
    <w:name w:val="m_7853225344542202889s9"/>
    <w:basedOn w:val="Normal"/>
    <w:rsid w:val="0098115D"/>
    <w:pPr>
      <w:widowControl/>
      <w:spacing w:before="100" w:beforeAutospacing="1" w:after="100" w:afterAutospacing="1"/>
    </w:pPr>
    <w:rPr>
      <w:color w:val="auto"/>
    </w:rPr>
  </w:style>
  <w:style w:type="character" w:customStyle="1" w:styleId="m7853225344542202889bumpedfont15">
    <w:name w:val="m_7853225344542202889bumpedfont15"/>
    <w:basedOn w:val="Fuentedeprrafopredeter"/>
    <w:rsid w:val="009811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7853225344542202889s9">
    <w:name w:val="m_7853225344542202889s9"/>
    <w:basedOn w:val="Normal"/>
    <w:rsid w:val="0098115D"/>
    <w:pPr>
      <w:widowControl/>
      <w:spacing w:before="100" w:beforeAutospacing="1" w:after="100" w:afterAutospacing="1"/>
    </w:pPr>
    <w:rPr>
      <w:color w:val="auto"/>
    </w:rPr>
  </w:style>
  <w:style w:type="character" w:customStyle="1" w:styleId="m7853225344542202889bumpedfont15">
    <w:name w:val="m_7853225344542202889bumpedfont15"/>
    <w:basedOn w:val="Fuentedeprrafopredeter"/>
    <w:rsid w:val="00981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55800478">
      <w:bodyDiv w:val="1"/>
      <w:marLeft w:val="0"/>
      <w:marRight w:val="0"/>
      <w:marTop w:val="0"/>
      <w:marBottom w:val="0"/>
      <w:divBdr>
        <w:top w:val="none" w:sz="0" w:space="0" w:color="auto"/>
        <w:left w:val="none" w:sz="0" w:space="0" w:color="auto"/>
        <w:bottom w:val="none" w:sz="0" w:space="0" w:color="auto"/>
        <w:right w:val="none" w:sz="0" w:space="0" w:color="auto"/>
      </w:divBdr>
    </w:div>
    <w:div w:id="124468106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CE170-94B0-459D-889E-D38CE07E2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1060</Words>
  <Characters>5830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9</cp:revision>
  <cp:lastPrinted>2019-04-22T17:05:00Z</cp:lastPrinted>
  <dcterms:created xsi:type="dcterms:W3CDTF">2019-06-18T15:48:00Z</dcterms:created>
  <dcterms:modified xsi:type="dcterms:W3CDTF">2019-06-18T17:34:00Z</dcterms:modified>
</cp:coreProperties>
</file>